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259D" w:rsidRPr="000F259D" w:rsidRDefault="000F259D" w:rsidP="000F259D">
      <w:pPr>
        <w:tabs>
          <w:tab w:val="left" w:pos="567"/>
        </w:tabs>
        <w:rPr>
          <w:rFonts w:cs="Arial"/>
          <w:b/>
          <w:bCs/>
          <w:sz w:val="24"/>
        </w:rPr>
      </w:pPr>
      <w:r w:rsidRPr="000F259D">
        <w:rPr>
          <w:rFonts w:cs="Arial"/>
          <w:b/>
          <w:bCs/>
          <w:sz w:val="24"/>
        </w:rPr>
        <w:t>3GPP TSG RAN WG1 Ad-Hoc Meeting 1901</w:t>
      </w:r>
      <w:r w:rsidRPr="000F259D">
        <w:rPr>
          <w:rFonts w:cs="Arial"/>
          <w:b/>
          <w:bCs/>
          <w:sz w:val="24"/>
        </w:rPr>
        <w:tab/>
      </w:r>
      <w:r w:rsidRPr="000F259D">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0F259D">
        <w:rPr>
          <w:rFonts w:cs="Arial"/>
          <w:b/>
          <w:bCs/>
          <w:sz w:val="24"/>
        </w:rPr>
        <w:t>R1-19</w:t>
      </w:r>
      <w:r w:rsidR="00DD3182">
        <w:rPr>
          <w:rFonts w:cs="Arial"/>
          <w:b/>
          <w:bCs/>
          <w:sz w:val="24"/>
        </w:rPr>
        <w:t>00428</w:t>
      </w:r>
    </w:p>
    <w:p w:rsidR="00512838" w:rsidRDefault="000F259D" w:rsidP="000F259D">
      <w:pPr>
        <w:tabs>
          <w:tab w:val="left" w:pos="567"/>
        </w:tabs>
        <w:rPr>
          <w:rFonts w:cs="Arial"/>
          <w:b/>
          <w:bCs/>
          <w:sz w:val="24"/>
        </w:rPr>
      </w:pPr>
      <w:r w:rsidRPr="000F259D">
        <w:rPr>
          <w:rFonts w:cs="Arial"/>
          <w:b/>
          <w:bCs/>
          <w:sz w:val="24"/>
        </w:rPr>
        <w:t>Taipei, Taiwan, 21st – 25th January, 2019</w:t>
      </w:r>
    </w:p>
    <w:p w:rsidR="000F259D" w:rsidRPr="005D2C51" w:rsidRDefault="000F259D" w:rsidP="000F259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1F02DD">
        <w:rPr>
          <w:b/>
          <w:sz w:val="24"/>
          <w:szCs w:val="24"/>
        </w:rPr>
        <w:t>2.3</w:t>
      </w:r>
      <w:r w:rsidR="00D37270">
        <w:rPr>
          <w:b/>
          <w:sz w:val="24"/>
          <w:szCs w:val="24"/>
        </w:rPr>
        <w:t>.2</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D37270" w:rsidRDefault="0060603E" w:rsidP="00326FF6">
      <w:pPr>
        <w:ind w:left="1800" w:hanging="1800"/>
        <w:rPr>
          <w:b/>
          <w:sz w:val="24"/>
          <w:szCs w:val="24"/>
        </w:rPr>
      </w:pPr>
      <w:r w:rsidRPr="00212204">
        <w:rPr>
          <w:b/>
          <w:sz w:val="24"/>
          <w:szCs w:val="24"/>
        </w:rPr>
        <w:t>Title:</w:t>
      </w:r>
      <w:r w:rsidR="002D479B" w:rsidRPr="00212204">
        <w:rPr>
          <w:sz w:val="24"/>
          <w:szCs w:val="24"/>
        </w:rPr>
        <w:tab/>
      </w:r>
      <w:r w:rsidR="00D37270" w:rsidRPr="00D37270">
        <w:rPr>
          <w:b/>
          <w:sz w:val="24"/>
          <w:szCs w:val="24"/>
        </w:rPr>
        <w:t>Enhancements to support inter-IAB node discovery and measurements</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DD3182" w:rsidRDefault="00DD3182" w:rsidP="00DD3182">
      <w:pPr>
        <w:rPr>
          <w:rFonts w:ascii="Calibri" w:eastAsia="Malgun Gothic" w:hAnsi="Calibri" w:cs="Batang"/>
          <w:lang w:val="en-GB" w:eastAsia="ko-KR"/>
        </w:rPr>
      </w:pPr>
      <w:r w:rsidRPr="004131D6">
        <w:rPr>
          <w:rFonts w:ascii="Calibri" w:eastAsia="Malgun Gothic" w:hAnsi="Calibri" w:cs="Batang"/>
          <w:lang w:val="en-GB" w:eastAsia="ko-KR"/>
        </w:rPr>
        <w:t>As part of the Work Item on Integrated Access and Backhaul for NR [1], 3GPP has agreed to support solutions for efficient operation of integrated access and wireless backhaul for NR including the following requirements:</w:t>
      </w:r>
    </w:p>
    <w:p w:rsidR="00DD3182" w:rsidRDefault="00DD3182" w:rsidP="00DD3182">
      <w:pPr>
        <w:pStyle w:val="ListParagraph"/>
        <w:numPr>
          <w:ilvl w:val="0"/>
          <w:numId w:val="19"/>
        </w:numPr>
        <w:spacing w:beforeLines="60" w:before="144" w:afterLines="60" w:after="144" w:line="256" w:lineRule="auto"/>
        <w:contextualSpacing w:val="0"/>
        <w:jc w:val="left"/>
        <w:rPr>
          <w:rFonts w:asciiTheme="minorHAnsi" w:hAnsiTheme="minorHAnsi"/>
        </w:rPr>
      </w:pPr>
      <w: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rsidR="00DD3182" w:rsidRPr="00C724F1" w:rsidRDefault="00DD3182" w:rsidP="00DD3182">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the design considerations for the use of SSBs for inter-IAB node discovery and measurements</w:t>
      </w:r>
      <w:r w:rsidRPr="00C724F1">
        <w:rPr>
          <w:rFonts w:ascii="Calibri" w:hAnsi="Calibri"/>
        </w:rPr>
        <w:t>.</w:t>
      </w:r>
    </w:p>
    <w:p w:rsidR="00346605" w:rsidRPr="00172743" w:rsidRDefault="002A01EA" w:rsidP="00326FF6">
      <w:pPr>
        <w:pStyle w:val="Heading1"/>
      </w:pPr>
      <w:r>
        <w:t>IAB node discovery and measurement</w:t>
      </w:r>
    </w:p>
    <w:p w:rsidR="00385DF3" w:rsidRDefault="005F41EC" w:rsidP="00004522">
      <w:pPr>
        <w:pStyle w:val="maintext"/>
        <w:ind w:firstLineChars="0" w:firstLine="0"/>
        <w:rPr>
          <w:rFonts w:ascii="Calibri" w:hAnsi="Calibri"/>
        </w:rPr>
      </w:pPr>
      <w:r>
        <w:rPr>
          <w:rFonts w:ascii="Calibri" w:hAnsi="Calibri"/>
        </w:rPr>
        <w:t>The following is</w:t>
      </w:r>
      <w:r w:rsidR="00385DF3">
        <w:rPr>
          <w:rFonts w:ascii="Calibri" w:hAnsi="Calibri"/>
        </w:rPr>
        <w:t xml:space="preserve"> captured in the TR 38.874</w:t>
      </w:r>
      <w:r w:rsidR="00875791">
        <w:rPr>
          <w:rFonts w:ascii="Calibri" w:hAnsi="Calibri"/>
        </w:rPr>
        <w:t xml:space="preserve"> [2]</w:t>
      </w:r>
      <w:bookmarkStart w:id="2" w:name="_GoBack"/>
      <w:bookmarkEnd w:id="2"/>
      <w:r w:rsidR="00385DF3">
        <w:rPr>
          <w:rFonts w:ascii="Calibri" w:hAnsi="Calibri"/>
        </w:rPr>
        <w:t>:</w:t>
      </w:r>
    </w:p>
    <w:p w:rsidR="005F41EC" w:rsidRPr="00F207B8" w:rsidRDefault="005F41EC" w:rsidP="005F41EC">
      <w:pPr>
        <w:ind w:left="720"/>
      </w:pPr>
      <w:r w:rsidRPr="00F207B8">
        <w:t>For the purpose of inter-</w:t>
      </w:r>
      <w:r>
        <w:t>IAB-node</w:t>
      </w:r>
      <w:r w:rsidRPr="00F207B8">
        <w:t xml:space="preserve"> and donor detection after the </w:t>
      </w:r>
      <w:r>
        <w:t>IAB-node</w:t>
      </w:r>
      <w:r w:rsidRPr="00F207B8">
        <w:t xml:space="preserve"> DU becomes active (Stage 2), the inter IAB-node discovery procedure needs to take into account the half-duplex constraint at an </w:t>
      </w:r>
      <w:r>
        <w:t>IAB-node</w:t>
      </w:r>
      <w:r w:rsidRPr="00F207B8">
        <w:t xml:space="preserve"> and multi-hop topologies. The following three solutions are supported:</w:t>
      </w:r>
    </w:p>
    <w:p w:rsidR="005F41EC" w:rsidRPr="00F207B8" w:rsidRDefault="005F41EC" w:rsidP="005F41EC">
      <w:pPr>
        <w:spacing w:after="60" w:line="288" w:lineRule="auto"/>
        <w:ind w:left="720"/>
        <w:rPr>
          <w:rFonts w:eastAsia="Malgun Gothic"/>
          <w:b/>
          <w:u w:val="single"/>
          <w:lang w:eastAsia="ko-KR"/>
        </w:rPr>
      </w:pPr>
      <w:r w:rsidRPr="00F207B8">
        <w:rPr>
          <w:rFonts w:eastAsia="Malgun Gothic"/>
          <w:b/>
          <w:u w:val="single"/>
          <w:lang w:eastAsia="ko-KR"/>
        </w:rPr>
        <w:t>SSB-based solutions (Solution 1-A and 1-B):</w:t>
      </w:r>
    </w:p>
    <w:p w:rsidR="005F41EC" w:rsidRPr="00AB7164" w:rsidRDefault="005F41EC" w:rsidP="005F41EC">
      <w:pPr>
        <w:pStyle w:val="B1"/>
        <w:ind w:left="1288"/>
      </w:pPr>
      <w:r w:rsidRPr="004052EB">
        <w:rPr>
          <w:rFonts w:eastAsia="Malgun Gothic" w:hint="eastAsia"/>
          <w:lang w:eastAsia="ko-KR"/>
        </w:rPr>
        <w:t>-</w:t>
      </w:r>
      <w:r w:rsidRPr="004052EB">
        <w:rPr>
          <w:rFonts w:eastAsia="Malgun Gothic" w:hint="eastAsia"/>
          <w:lang w:eastAsia="ko-KR"/>
        </w:rPr>
        <w:tab/>
      </w:r>
      <w:r w:rsidRPr="00F207B8">
        <w:t>Solution 1-A) Reusing the same set of SSBs used for access UEs</w:t>
      </w:r>
      <w:r w:rsidRPr="00A02E00">
        <w:rPr>
          <w:rFonts w:eastAsia="Malgun Gothic" w:hint="eastAsia"/>
          <w:lang w:eastAsia="ko-KR"/>
        </w:rPr>
        <w:t>:</w:t>
      </w:r>
    </w:p>
    <w:p w:rsidR="005F41EC" w:rsidRPr="00F207B8" w:rsidRDefault="005F41EC" w:rsidP="005F41EC">
      <w:pPr>
        <w:pStyle w:val="B2"/>
        <w:ind w:left="1571"/>
      </w:pPr>
      <w:r w:rsidRPr="004052EB">
        <w:rPr>
          <w:rFonts w:eastAsia="Malgun Gothic" w:hint="eastAsia"/>
          <w:lang w:eastAsia="ko-KR"/>
        </w:rPr>
        <w:t>-</w:t>
      </w:r>
      <w:r w:rsidRPr="004052EB">
        <w:rPr>
          <w:rFonts w:eastAsia="Malgun Gothic" w:hint="eastAsia"/>
          <w:lang w:eastAsia="ko-KR"/>
        </w:rPr>
        <w:tab/>
      </w:r>
      <w:r w:rsidRPr="00F207B8">
        <w:t>In this case, the SSBs for inter-IAB cell search in stage 2 are on the currently defined sync raster for a SA frequency layer, while for a NSA frequency layer the SSBs are transmitted inside of the SMTC configured for access UEs.</w:t>
      </w:r>
    </w:p>
    <w:p w:rsidR="005F41EC" w:rsidRPr="00AB7164" w:rsidRDefault="005F41EC" w:rsidP="005F41EC">
      <w:pPr>
        <w:pStyle w:val="B1"/>
        <w:ind w:left="1288"/>
      </w:pPr>
      <w:r w:rsidRPr="004052EB">
        <w:rPr>
          <w:rFonts w:eastAsia="Malgun Gothic" w:hint="eastAsia"/>
          <w:lang w:eastAsia="ko-KR"/>
        </w:rPr>
        <w:t>-</w:t>
      </w:r>
      <w:r w:rsidRPr="004052EB">
        <w:rPr>
          <w:rFonts w:eastAsia="Malgun Gothic" w:hint="eastAsia"/>
          <w:lang w:eastAsia="ko-KR"/>
        </w:rPr>
        <w:tab/>
      </w:r>
      <w:r w:rsidRPr="00F207B8">
        <w:t>Solution 1-B) Use of SSBs which are orthogonal (TDM and/or FDM) with SSBs used for access UEs</w:t>
      </w:r>
      <w:r w:rsidRPr="00A02E00">
        <w:rPr>
          <w:rFonts w:eastAsia="Malgun Gothic" w:hint="eastAsia"/>
          <w:lang w:eastAsia="ko-KR"/>
        </w:rPr>
        <w:t>:</w:t>
      </w:r>
    </w:p>
    <w:p w:rsidR="005F41EC" w:rsidRPr="00F207B8" w:rsidRDefault="005F41EC" w:rsidP="005F41EC">
      <w:pPr>
        <w:pStyle w:val="B2"/>
        <w:ind w:left="1571"/>
      </w:pPr>
      <w:r w:rsidRPr="004052EB">
        <w:rPr>
          <w:rFonts w:eastAsia="Malgun Gothic" w:hint="eastAsia"/>
          <w:lang w:eastAsia="ko-KR"/>
        </w:rPr>
        <w:t>-</w:t>
      </w:r>
      <w:r w:rsidRPr="004052EB">
        <w:rPr>
          <w:rFonts w:eastAsia="Malgun Gothic" w:hint="eastAsia"/>
          <w:lang w:eastAsia="ko-KR"/>
        </w:rPr>
        <w:tab/>
      </w:r>
      <w:r w:rsidRPr="00F207B8">
        <w:t>In this case, the SSBs, that may get muted, for inter-IAB cell search and measurement in stage 2 are not on the currently defined sync raster for a SA frequency layer, while for a NSA frequency layer the SSBs are transmitted outside of the SMTC configured for access UEs.</w:t>
      </w:r>
    </w:p>
    <w:p w:rsidR="005F41EC" w:rsidRPr="00AB7164" w:rsidRDefault="005F41EC" w:rsidP="005F41EC">
      <w:pPr>
        <w:ind w:left="720"/>
      </w:pPr>
      <w:r w:rsidRPr="00F207B8">
        <w:t xml:space="preserve">An </w:t>
      </w:r>
      <w:r>
        <w:t>IAB-node</w:t>
      </w:r>
      <w:r w:rsidRPr="00F207B8">
        <w:t xml:space="preserve"> should not mute its own SSB transmissions targeting UE cell search and measurement when doing inter-IAB cell search in stage 2</w:t>
      </w:r>
      <w:r w:rsidRPr="00A02E00">
        <w:rPr>
          <w:rFonts w:eastAsia="Malgun Gothic" w:hint="eastAsia"/>
          <w:lang w:eastAsia="ko-KR"/>
        </w:rPr>
        <w:t>:</w:t>
      </w:r>
    </w:p>
    <w:p w:rsidR="005F41EC" w:rsidRPr="00F207B8" w:rsidRDefault="005F41EC" w:rsidP="005F41EC">
      <w:pPr>
        <w:pStyle w:val="B1"/>
        <w:ind w:left="1288"/>
      </w:pPr>
      <w:r w:rsidRPr="004052EB">
        <w:rPr>
          <w:rFonts w:eastAsia="Malgun Gothic" w:hint="eastAsia"/>
          <w:lang w:eastAsia="ko-KR"/>
        </w:rPr>
        <w:t>-</w:t>
      </w:r>
      <w:r w:rsidRPr="004052EB">
        <w:rPr>
          <w:rFonts w:eastAsia="Malgun Gothic" w:hint="eastAsia"/>
          <w:lang w:eastAsia="ko-KR"/>
        </w:rPr>
        <w:tab/>
      </w:r>
      <w:r w:rsidRPr="00F207B8">
        <w:t>For SA, this means that SSBs transmitted on the currently defined sync raster follow the currently defined periodicity for initial access</w:t>
      </w:r>
      <w:r w:rsidRPr="00A02E00">
        <w:rPr>
          <w:rFonts w:eastAsia="Malgun Gothic" w:hint="eastAsia"/>
          <w:lang w:eastAsia="ko-KR"/>
        </w:rPr>
        <w:t>;</w:t>
      </w:r>
    </w:p>
    <w:p w:rsidR="005F41EC" w:rsidRPr="00F207B8" w:rsidRDefault="005F41EC" w:rsidP="005F41EC">
      <w:pPr>
        <w:pStyle w:val="B1"/>
        <w:ind w:left="1288"/>
      </w:pPr>
      <w:r w:rsidRPr="004052EB">
        <w:rPr>
          <w:rFonts w:eastAsia="Malgun Gothic" w:hint="eastAsia"/>
          <w:lang w:eastAsia="ko-KR"/>
        </w:rPr>
        <w:t>-</w:t>
      </w:r>
      <w:r w:rsidRPr="004052EB">
        <w:rPr>
          <w:rFonts w:eastAsia="Malgun Gothic" w:hint="eastAsia"/>
          <w:lang w:eastAsia="ko-KR"/>
        </w:rPr>
        <w:tab/>
      </w:r>
      <w:r w:rsidRPr="00F207B8">
        <w:t>In case of Solution 1-B, this implies SSBs, that may get muted, for inter-IAB stage 2 cell search is at least TDM with SSBs used for UE cell search and measurements.</w:t>
      </w:r>
    </w:p>
    <w:p w:rsidR="00385DF3" w:rsidRDefault="00385DF3" w:rsidP="00004522">
      <w:pPr>
        <w:pStyle w:val="maintext"/>
        <w:ind w:firstLineChars="0" w:firstLine="0"/>
        <w:rPr>
          <w:rFonts w:ascii="Calibri" w:hAnsi="Calibri"/>
        </w:rPr>
      </w:pPr>
    </w:p>
    <w:p w:rsidR="005F41EC" w:rsidRDefault="005F41EC" w:rsidP="00004522">
      <w:pPr>
        <w:pStyle w:val="maintext"/>
        <w:ind w:firstLineChars="0" w:firstLine="0"/>
        <w:rPr>
          <w:rFonts w:ascii="Calibri" w:hAnsi="Calibri"/>
        </w:rPr>
      </w:pPr>
      <w:r>
        <w:rPr>
          <w:rFonts w:ascii="Calibri" w:hAnsi="Calibri"/>
        </w:rPr>
        <w:t xml:space="preserve">As mentioned in the introduction, the WID requirement is to specify </w:t>
      </w:r>
      <w:r w:rsidR="00F959A1">
        <w:rPr>
          <w:rFonts w:ascii="Calibri" w:hAnsi="Calibri"/>
        </w:rPr>
        <w:t>Solution 1-B</w:t>
      </w:r>
      <w:r w:rsidR="0083713D" w:rsidRPr="00BA6FDB">
        <w:rPr>
          <w:rFonts w:ascii="Calibri" w:hAnsi="Calibri"/>
        </w:rPr>
        <w:t xml:space="preserve">, </w:t>
      </w:r>
      <w:r>
        <w:rPr>
          <w:rFonts w:ascii="Calibri" w:hAnsi="Calibri"/>
        </w:rPr>
        <w:t xml:space="preserve">meaning that </w:t>
      </w:r>
      <w:r w:rsidR="0083713D" w:rsidRPr="00BA6FDB">
        <w:rPr>
          <w:rFonts w:ascii="Calibri" w:hAnsi="Calibri"/>
        </w:rPr>
        <w:t xml:space="preserve">not only </w:t>
      </w:r>
      <w:r w:rsidR="0083713D">
        <w:rPr>
          <w:rFonts w:ascii="Calibri" w:hAnsi="Calibri"/>
        </w:rPr>
        <w:t xml:space="preserve">is </w:t>
      </w:r>
      <w:r w:rsidR="0083713D" w:rsidRPr="00BA6FDB">
        <w:rPr>
          <w:rFonts w:ascii="Calibri" w:hAnsi="Calibri"/>
        </w:rPr>
        <w:t>differentiation between resource</w:t>
      </w:r>
      <w:r w:rsidR="0083713D">
        <w:rPr>
          <w:rFonts w:ascii="Calibri" w:hAnsi="Calibri"/>
        </w:rPr>
        <w:t>s</w:t>
      </w:r>
      <w:r w:rsidR="0083713D" w:rsidRPr="00BA6FDB">
        <w:rPr>
          <w:rFonts w:ascii="Calibri" w:hAnsi="Calibri"/>
        </w:rPr>
        <w:t xml:space="preserve"> used for transmission of access and backhaul</w:t>
      </w:r>
      <w:r w:rsidR="0083713D">
        <w:rPr>
          <w:rFonts w:ascii="Calibri" w:hAnsi="Calibri"/>
        </w:rPr>
        <w:t xml:space="preserve"> link initial access signals </w:t>
      </w:r>
      <w:r w:rsidR="0083713D" w:rsidRPr="00BA6FDB">
        <w:rPr>
          <w:rFonts w:ascii="Calibri" w:hAnsi="Calibri"/>
        </w:rPr>
        <w:t>needed, but also between different hop order</w:t>
      </w:r>
      <w:r w:rsidR="0083713D">
        <w:rPr>
          <w:rFonts w:ascii="Calibri" w:hAnsi="Calibri"/>
        </w:rPr>
        <w:t>s</w:t>
      </w:r>
      <w:r w:rsidR="0083713D" w:rsidRPr="00BA6FDB">
        <w:rPr>
          <w:rFonts w:ascii="Calibri" w:hAnsi="Calibri"/>
        </w:rPr>
        <w:t xml:space="preserve"> of </w:t>
      </w:r>
      <w:r w:rsidR="00EE2068">
        <w:rPr>
          <w:rFonts w:ascii="Calibri" w:hAnsi="Calibri"/>
        </w:rPr>
        <w:t>IAB nodes</w:t>
      </w:r>
      <w:r w:rsidR="0083713D" w:rsidRPr="00BA6FDB">
        <w:rPr>
          <w:rFonts w:ascii="Calibri" w:hAnsi="Calibri"/>
        </w:rPr>
        <w:t xml:space="preserve"> due to the half-duplex constraint. </w:t>
      </w:r>
    </w:p>
    <w:p w:rsidR="00004522" w:rsidRDefault="0083713D" w:rsidP="00004522">
      <w:pPr>
        <w:pStyle w:val="maintext"/>
        <w:ind w:firstLineChars="0" w:firstLine="0"/>
        <w:rPr>
          <w:rFonts w:ascii="Calibri" w:hAnsi="Calibri"/>
        </w:rPr>
      </w:pPr>
      <w:r w:rsidRPr="00BA6FDB">
        <w:rPr>
          <w:rFonts w:ascii="Calibri" w:hAnsi="Calibri"/>
        </w:rPr>
        <w:lastRenderedPageBreak/>
        <w:t xml:space="preserve">Figure </w:t>
      </w:r>
      <w:r w:rsidR="00DD3182">
        <w:rPr>
          <w:rFonts w:ascii="Calibri" w:hAnsi="Calibri"/>
        </w:rPr>
        <w:t>1</w:t>
      </w:r>
      <w:r w:rsidRPr="00BA6FDB">
        <w:rPr>
          <w:rFonts w:ascii="Calibri" w:hAnsi="Calibri"/>
        </w:rPr>
        <w:t xml:space="preserve"> </w:t>
      </w:r>
      <w:r>
        <w:rPr>
          <w:rFonts w:ascii="Calibri" w:hAnsi="Calibri"/>
        </w:rPr>
        <w:t>provide</w:t>
      </w:r>
      <w:r w:rsidR="00BC704C">
        <w:rPr>
          <w:rFonts w:ascii="Calibri" w:hAnsi="Calibri"/>
        </w:rPr>
        <w:t>s</w:t>
      </w:r>
      <w:r w:rsidRPr="00BA6FDB">
        <w:rPr>
          <w:rFonts w:ascii="Calibri" w:hAnsi="Calibri"/>
        </w:rPr>
        <w:t xml:space="preserve"> an example of such multiplexing of initial access signal transmissions between access and two backhaul link hop orders.</w:t>
      </w:r>
      <w:r>
        <w:rPr>
          <w:rFonts w:ascii="Calibri" w:hAnsi="Calibri"/>
        </w:rPr>
        <w:t xml:space="preserve"> The access synchronization signal transmissions can overlap in time across hop orders since they are intended for UEs and therefore not subject to the half-duplex constrain requirement. However, orthogonal time periods are required for the transmission of the synchronization signal transmissions intended for backhaul link discovery and maintenance with a possibly </w:t>
      </w:r>
      <w:r w:rsidR="00F970EB">
        <w:rPr>
          <w:rFonts w:ascii="Calibri" w:hAnsi="Calibri"/>
        </w:rPr>
        <w:t>larger</w:t>
      </w:r>
      <w:r>
        <w:rPr>
          <w:rFonts w:ascii="Calibri" w:hAnsi="Calibri"/>
        </w:rPr>
        <w:t xml:space="preserve"> periodicity of transmission</w:t>
      </w:r>
      <w:r w:rsidR="00C735F1">
        <w:rPr>
          <w:rFonts w:ascii="Calibri" w:hAnsi="Calibri"/>
        </w:rPr>
        <w:t xml:space="preserve"> and separately configured from the parameters/resources used by access UEs</w:t>
      </w:r>
      <w:r>
        <w:rPr>
          <w:rFonts w:ascii="Calibri" w:hAnsi="Calibri"/>
        </w:rPr>
        <w:t>.</w:t>
      </w:r>
    </w:p>
    <w:p w:rsidR="00CB4F18" w:rsidRDefault="00CB4F18" w:rsidP="00CB4F18">
      <w:pPr>
        <w:pStyle w:val="maintext"/>
        <w:ind w:firstLineChars="0" w:firstLine="0"/>
        <w:rPr>
          <w:rFonts w:ascii="Calibri" w:hAnsi="Calibri"/>
          <w:b/>
        </w:rPr>
      </w:pPr>
      <w:r>
        <w:rPr>
          <w:rFonts w:ascii="Calibri" w:hAnsi="Calibri"/>
          <w:b/>
        </w:rPr>
        <w:t>Proposal</w:t>
      </w:r>
      <w:r w:rsidRPr="00057E9B">
        <w:rPr>
          <w:rFonts w:ascii="Calibri" w:hAnsi="Calibri"/>
          <w:b/>
        </w:rPr>
        <w:t xml:space="preserve"> </w:t>
      </w:r>
      <w:r>
        <w:rPr>
          <w:rFonts w:ascii="Calibri" w:hAnsi="Calibri"/>
          <w:b/>
        </w:rPr>
        <w:t>1</w:t>
      </w:r>
      <w:r w:rsidRPr="00057E9B">
        <w:rPr>
          <w:rFonts w:ascii="Calibri" w:hAnsi="Calibri"/>
          <w:b/>
        </w:rPr>
        <w:t xml:space="preserve">: </w:t>
      </w:r>
      <w:r>
        <w:rPr>
          <w:rFonts w:ascii="Calibri" w:hAnsi="Calibri"/>
          <w:b/>
        </w:rPr>
        <w:t xml:space="preserve">Specify additional SMTC periodicities for inter-IAB node discovery and measurement beyond the values supported in Rel. 15. </w:t>
      </w:r>
    </w:p>
    <w:p w:rsidR="00F970EB" w:rsidRDefault="00F970EB" w:rsidP="00004522">
      <w:pPr>
        <w:pStyle w:val="maintext"/>
        <w:ind w:firstLineChars="0" w:firstLine="0"/>
        <w:rPr>
          <w:rFonts w:ascii="Calibri" w:hAnsi="Calibri"/>
        </w:rPr>
      </w:pPr>
    </w:p>
    <w:p w:rsidR="00AA5160" w:rsidRPr="00AA5160" w:rsidRDefault="00DE2A3F" w:rsidP="00AA5160">
      <w:pPr>
        <w:pStyle w:val="maintext"/>
        <w:ind w:firstLineChars="0" w:firstLine="0"/>
        <w:rPr>
          <w:rFonts w:ascii="Calibri" w:hAnsi="Calibri"/>
        </w:rPr>
      </w:pPr>
      <w:r>
        <w:rPr>
          <w:rFonts w:ascii="Calibri" w:hAnsi="Calibri"/>
          <w:noProof/>
          <w:lang w:val="en-US" w:eastAsia="en-US"/>
        </w:rPr>
        <w:drawing>
          <wp:inline distT="0" distB="0" distL="0" distR="0" wp14:anchorId="72565EB6">
            <wp:extent cx="6016625" cy="191198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6625" cy="1911985"/>
                    </a:xfrm>
                    <a:prstGeom prst="rect">
                      <a:avLst/>
                    </a:prstGeom>
                    <a:noFill/>
                  </pic:spPr>
                </pic:pic>
              </a:graphicData>
            </a:graphic>
          </wp:inline>
        </w:drawing>
      </w:r>
      <w:r w:rsidR="00004522">
        <w:rPr>
          <w:rFonts w:ascii="Calibri" w:hAnsi="Calibri"/>
        </w:rPr>
        <w:t xml:space="preserve">         </w:t>
      </w:r>
      <w:r w:rsidR="0083713D">
        <w:rPr>
          <w:rFonts w:ascii="Calibri" w:hAnsi="Calibri"/>
        </w:rPr>
        <w:t xml:space="preserve">  </w:t>
      </w:r>
      <w:r w:rsidR="00EE2068">
        <w:rPr>
          <w:rFonts w:ascii="Calibri" w:hAnsi="Calibri"/>
        </w:rPr>
        <w:t xml:space="preserve">        </w:t>
      </w:r>
      <w:r w:rsidR="0083713D">
        <w:rPr>
          <w:rFonts w:ascii="Calibri" w:hAnsi="Calibri"/>
        </w:rPr>
        <w:t xml:space="preserve">         </w:t>
      </w:r>
      <w:r w:rsidR="00004522">
        <w:rPr>
          <w:rFonts w:ascii="Calibri" w:hAnsi="Calibri"/>
        </w:rPr>
        <w:t xml:space="preserve"> </w:t>
      </w:r>
    </w:p>
    <w:p w:rsidR="00AA5160" w:rsidRPr="00AA5160" w:rsidRDefault="0083713D" w:rsidP="00AA5160">
      <w:pPr>
        <w:overflowPunct w:val="0"/>
        <w:autoSpaceDE w:val="0"/>
        <w:autoSpaceDN w:val="0"/>
        <w:adjustRightInd w:val="0"/>
        <w:spacing w:after="240" w:line="360" w:lineRule="auto"/>
        <w:jc w:val="center"/>
        <w:textAlignment w:val="baseline"/>
        <w:rPr>
          <w:rFonts w:ascii="Calibri" w:hAnsi="Calibri"/>
          <w:b/>
          <w:bCs/>
          <w:sz w:val="22"/>
          <w:lang w:val="en-GB" w:eastAsia="zh-CN"/>
        </w:rPr>
      </w:pPr>
      <w:r w:rsidRPr="006C49B6">
        <w:rPr>
          <w:rFonts w:ascii="Calibri" w:hAnsi="Calibri"/>
          <w:b/>
          <w:bCs/>
          <w:sz w:val="22"/>
          <w:lang w:val="en-GB" w:eastAsia="zh-CN"/>
        </w:rPr>
        <w:t xml:space="preserve">Figure </w:t>
      </w:r>
      <w:r w:rsidR="00DD3182">
        <w:rPr>
          <w:rFonts w:ascii="Calibri" w:hAnsi="Calibri"/>
          <w:b/>
          <w:bCs/>
          <w:sz w:val="22"/>
          <w:lang w:val="en-GB" w:eastAsia="zh-CN"/>
        </w:rPr>
        <w:t>1</w:t>
      </w:r>
      <w:r w:rsidRPr="006C49B6">
        <w:rPr>
          <w:rFonts w:ascii="Calibri" w:hAnsi="Calibri"/>
          <w:b/>
          <w:bCs/>
          <w:sz w:val="22"/>
          <w:lang w:val="en-GB" w:eastAsia="zh-CN"/>
        </w:rPr>
        <w:t>: TDM multiplexing of initial access signals between access and backhaul links (same periodicity)</w:t>
      </w:r>
    </w:p>
    <w:p w:rsidR="00F959A1" w:rsidRDefault="00FD6F1A" w:rsidP="004709B7">
      <w:pPr>
        <w:pStyle w:val="maintext"/>
        <w:ind w:firstLineChars="0" w:firstLine="0"/>
        <w:rPr>
          <w:rFonts w:ascii="Calibri" w:hAnsi="Calibri"/>
        </w:rPr>
      </w:pPr>
      <w:r>
        <w:rPr>
          <w:rFonts w:ascii="Calibri" w:hAnsi="Calibri"/>
        </w:rPr>
        <w:t>The orthogonal resources/periodicities and muting patterns within a given SMTC should be able to accommodate deployments with different numbers of hops and number of candidate IAB nodes (e.g. due to deployment density). However, introducing a large number of possible configurations may increase the overhead and netwo</w:t>
      </w:r>
      <w:r w:rsidR="0087144B">
        <w:rPr>
          <w:rFonts w:ascii="Calibri" w:hAnsi="Calibri"/>
        </w:rPr>
        <w:t>rk complexity. Also considerin</w:t>
      </w:r>
      <w:r w:rsidR="00B83D95">
        <w:rPr>
          <w:rFonts w:ascii="Calibri" w:hAnsi="Calibri"/>
        </w:rPr>
        <w:t>g IAB scenarios evaluated during the</w:t>
      </w:r>
      <w:r w:rsidR="0087144B">
        <w:rPr>
          <w:rFonts w:ascii="Calibri" w:hAnsi="Calibri"/>
        </w:rPr>
        <w:t xml:space="preserve"> SI </w:t>
      </w:r>
      <w:r w:rsidR="00726B84">
        <w:rPr>
          <w:rFonts w:ascii="Calibri" w:hAnsi="Calibri"/>
        </w:rPr>
        <w:t>typically d</w:t>
      </w:r>
      <w:r w:rsidR="00B83D95">
        <w:rPr>
          <w:rFonts w:ascii="Calibri" w:hAnsi="Calibri"/>
        </w:rPr>
        <w:t>id</w:t>
      </w:r>
      <w:r w:rsidR="00726B84">
        <w:rPr>
          <w:rFonts w:ascii="Calibri" w:hAnsi="Calibri"/>
        </w:rPr>
        <w:t xml:space="preserve"> not go beyond 2-3 hops, it is reasonable for the configuration and patterns for </w:t>
      </w:r>
      <w:r w:rsidR="00B83D95">
        <w:rPr>
          <w:rFonts w:ascii="Calibri" w:hAnsi="Calibri"/>
        </w:rPr>
        <w:t>the configurations</w:t>
      </w:r>
      <w:r w:rsidR="00726B84">
        <w:rPr>
          <w:rFonts w:ascii="Calibri" w:hAnsi="Calibri"/>
        </w:rPr>
        <w:t xml:space="preserve"> to potentially support a large (or arbitrary) number of hops, but </w:t>
      </w:r>
      <w:r w:rsidR="00B83D95">
        <w:rPr>
          <w:rFonts w:ascii="Calibri" w:hAnsi="Calibri"/>
        </w:rPr>
        <w:t>be</w:t>
      </w:r>
      <w:r w:rsidR="00726B84">
        <w:rPr>
          <w:rFonts w:ascii="Calibri" w:hAnsi="Calibri"/>
        </w:rPr>
        <w:t xml:space="preserve"> optimized for inter-hop discovery of IAB nodes up to 3 hops.</w:t>
      </w:r>
    </w:p>
    <w:p w:rsidR="00CB4F18" w:rsidRDefault="00CB4F18" w:rsidP="004709B7">
      <w:pPr>
        <w:pStyle w:val="maintext"/>
        <w:ind w:firstLineChars="0" w:firstLine="0"/>
        <w:rPr>
          <w:rFonts w:ascii="Calibri" w:hAnsi="Calibri"/>
        </w:rPr>
      </w:pPr>
      <w:r>
        <w:rPr>
          <w:rFonts w:ascii="Calibri" w:hAnsi="Calibri"/>
          <w:b/>
        </w:rPr>
        <w:t>Proposal</w:t>
      </w:r>
      <w:r w:rsidRPr="00057E9B">
        <w:rPr>
          <w:rFonts w:ascii="Calibri" w:hAnsi="Calibri"/>
          <w:b/>
        </w:rPr>
        <w:t xml:space="preserve"> </w:t>
      </w:r>
      <w:r>
        <w:rPr>
          <w:rFonts w:ascii="Calibri" w:hAnsi="Calibri"/>
          <w:b/>
        </w:rPr>
        <w:t>2</w:t>
      </w:r>
      <w:r w:rsidRPr="00057E9B">
        <w:rPr>
          <w:rFonts w:ascii="Calibri" w:hAnsi="Calibri"/>
          <w:b/>
        </w:rPr>
        <w:t xml:space="preserve">: </w:t>
      </w:r>
      <w:r>
        <w:rPr>
          <w:rFonts w:ascii="Calibri" w:hAnsi="Calibri"/>
          <w:b/>
        </w:rPr>
        <w:t>Introduce time-domain mapping patterns for SSBs</w:t>
      </w:r>
      <w:r w:rsidRPr="00057E9B">
        <w:rPr>
          <w:rFonts w:ascii="Calibri" w:hAnsi="Calibri"/>
          <w:b/>
        </w:rPr>
        <w:t xml:space="preserve"> </w:t>
      </w:r>
      <w:r>
        <w:rPr>
          <w:rFonts w:ascii="Calibri" w:hAnsi="Calibri"/>
          <w:b/>
        </w:rPr>
        <w:t>based on hop order which are orthogonal for up to 3 hops.</w:t>
      </w:r>
    </w:p>
    <w:p w:rsidR="00CB4F18" w:rsidRDefault="00CB4F18" w:rsidP="004709B7">
      <w:pPr>
        <w:pStyle w:val="maintext"/>
        <w:ind w:firstLineChars="0" w:firstLine="0"/>
        <w:rPr>
          <w:rFonts w:ascii="Calibri" w:hAnsi="Calibri"/>
        </w:rPr>
      </w:pPr>
    </w:p>
    <w:p w:rsidR="00F970EB" w:rsidRDefault="00F970EB" w:rsidP="004709B7">
      <w:pPr>
        <w:pStyle w:val="maintext"/>
        <w:ind w:firstLineChars="0" w:firstLine="0"/>
        <w:rPr>
          <w:rFonts w:ascii="Calibri" w:hAnsi="Calibri"/>
        </w:rPr>
      </w:pPr>
      <w:r>
        <w:rPr>
          <w:rFonts w:ascii="Calibri" w:hAnsi="Calibri"/>
        </w:rPr>
        <w:t xml:space="preserve">One straightforward way to realize the patterns is to introduce time domain offsets between the SSB transmission occasions based on hop order, decoupling the time domain SSB transmission and measurement occasions for a given IAB node. However, while such a staggered approach as shown in Figure 1 enables inter-hop discovery and measurement, </w:t>
      </w:r>
      <w:r w:rsidR="00CB4F18">
        <w:rPr>
          <w:rFonts w:ascii="Calibri" w:hAnsi="Calibri"/>
        </w:rPr>
        <w:t xml:space="preserve">intra-hop measurement should be supported as well. In order to achieve this, different periodicities and bitmaps of actually transmitted SSBs can be configured for different nodes of the same hop order in order to create intra-hop measurement occasions. </w:t>
      </w:r>
    </w:p>
    <w:p w:rsidR="00004522" w:rsidRDefault="00CB4F18" w:rsidP="00BC704C">
      <w:pPr>
        <w:pStyle w:val="maintext"/>
        <w:ind w:firstLineChars="0" w:firstLine="0"/>
        <w:rPr>
          <w:rFonts w:ascii="Calibri" w:hAnsi="Calibri"/>
          <w:b/>
        </w:rPr>
      </w:pPr>
      <w:r>
        <w:rPr>
          <w:rFonts w:ascii="Calibri" w:hAnsi="Calibri"/>
          <w:b/>
        </w:rPr>
        <w:t>Proposal 3: Support configuration of different periodicities/offsets to enable both intra- and inter-hop discovery</w:t>
      </w:r>
      <w:r w:rsidR="00F463C9">
        <w:rPr>
          <w:rFonts w:ascii="Calibri" w:hAnsi="Calibri"/>
          <w:b/>
        </w:rPr>
        <w:t>.</w:t>
      </w:r>
    </w:p>
    <w:p w:rsidR="009550DA" w:rsidRDefault="009550DA" w:rsidP="00BC704C">
      <w:pPr>
        <w:pStyle w:val="maintext"/>
        <w:ind w:firstLineChars="0" w:firstLine="0"/>
        <w:rPr>
          <w:rFonts w:ascii="Calibri" w:hAnsi="Calibri"/>
          <w:b/>
        </w:rPr>
      </w:pPr>
    </w:p>
    <w:p w:rsidR="007338D6" w:rsidRPr="00172743" w:rsidRDefault="003A566A" w:rsidP="00326FF6">
      <w:pPr>
        <w:pStyle w:val="Heading1"/>
      </w:pPr>
      <w:r w:rsidRPr="00172743">
        <w:t>Conclusion</w:t>
      </w:r>
    </w:p>
    <w:p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B83D95">
        <w:rPr>
          <w:rFonts w:ascii="Calibri" w:hAnsi="Calibri"/>
        </w:rPr>
        <w:t>inter-IAB node discovery and measurement. The following proposal</w:t>
      </w:r>
      <w:r w:rsidR="00F970EB">
        <w:rPr>
          <w:rFonts w:ascii="Calibri" w:hAnsi="Calibri"/>
        </w:rPr>
        <w:t>s</w:t>
      </w:r>
      <w:r w:rsidR="00B83D95">
        <w:rPr>
          <w:rFonts w:ascii="Calibri" w:hAnsi="Calibri"/>
        </w:rPr>
        <w:t xml:space="preserve"> </w:t>
      </w:r>
      <w:r w:rsidR="00E604D6">
        <w:rPr>
          <w:rFonts w:ascii="Calibri" w:hAnsi="Calibri"/>
        </w:rPr>
        <w:t>w</w:t>
      </w:r>
      <w:r w:rsidR="00F970EB">
        <w:rPr>
          <w:rFonts w:ascii="Calibri" w:hAnsi="Calibri"/>
        </w:rPr>
        <w:t>ere</w:t>
      </w:r>
      <w:r w:rsidR="00E604D6">
        <w:rPr>
          <w:rFonts w:ascii="Calibri" w:hAnsi="Calibri"/>
        </w:rPr>
        <w:t xml:space="preserve"> made</w:t>
      </w:r>
      <w:r>
        <w:rPr>
          <w:rFonts w:ascii="Calibri" w:hAnsi="Calibri"/>
        </w:rPr>
        <w:t>:</w:t>
      </w:r>
    </w:p>
    <w:p w:rsidR="00F970EB" w:rsidRDefault="00F970EB" w:rsidP="00F970EB">
      <w:pPr>
        <w:pStyle w:val="maintext"/>
        <w:ind w:firstLineChars="0" w:firstLine="0"/>
        <w:rPr>
          <w:rFonts w:ascii="Calibri" w:hAnsi="Calibri"/>
          <w:b/>
        </w:rPr>
      </w:pPr>
      <w:r>
        <w:rPr>
          <w:rFonts w:ascii="Calibri" w:hAnsi="Calibri"/>
          <w:b/>
        </w:rPr>
        <w:t>Proposal</w:t>
      </w:r>
      <w:r w:rsidRPr="00057E9B">
        <w:rPr>
          <w:rFonts w:ascii="Calibri" w:hAnsi="Calibri"/>
          <w:b/>
        </w:rPr>
        <w:t xml:space="preserve"> </w:t>
      </w:r>
      <w:r>
        <w:rPr>
          <w:rFonts w:ascii="Calibri" w:hAnsi="Calibri"/>
          <w:b/>
        </w:rPr>
        <w:t>1</w:t>
      </w:r>
      <w:r w:rsidRPr="00057E9B">
        <w:rPr>
          <w:rFonts w:ascii="Calibri" w:hAnsi="Calibri"/>
          <w:b/>
        </w:rPr>
        <w:t xml:space="preserve">: </w:t>
      </w:r>
      <w:r w:rsidR="00CB4F18">
        <w:rPr>
          <w:rFonts w:ascii="Calibri" w:hAnsi="Calibri"/>
          <w:b/>
        </w:rPr>
        <w:t xml:space="preserve">Specify </w:t>
      </w:r>
      <w:r>
        <w:rPr>
          <w:rFonts w:ascii="Calibri" w:hAnsi="Calibri"/>
          <w:b/>
        </w:rPr>
        <w:t xml:space="preserve">additional SMTC periodicities for inter-IAB node discovery and measurement beyond the values supported in Rel. 15. </w:t>
      </w:r>
    </w:p>
    <w:p w:rsidR="00CB4F18" w:rsidRDefault="00CB4F18" w:rsidP="00CB4F18">
      <w:pPr>
        <w:pStyle w:val="maintext"/>
        <w:ind w:firstLineChars="0" w:firstLine="0"/>
        <w:rPr>
          <w:rFonts w:ascii="Calibri" w:hAnsi="Calibri"/>
        </w:rPr>
      </w:pPr>
      <w:r>
        <w:rPr>
          <w:rFonts w:ascii="Calibri" w:hAnsi="Calibri"/>
          <w:b/>
        </w:rPr>
        <w:t>Proposal</w:t>
      </w:r>
      <w:r w:rsidRPr="00057E9B">
        <w:rPr>
          <w:rFonts w:ascii="Calibri" w:hAnsi="Calibri"/>
          <w:b/>
        </w:rPr>
        <w:t xml:space="preserve"> </w:t>
      </w:r>
      <w:r>
        <w:rPr>
          <w:rFonts w:ascii="Calibri" w:hAnsi="Calibri"/>
          <w:b/>
        </w:rPr>
        <w:t>2</w:t>
      </w:r>
      <w:r w:rsidRPr="00057E9B">
        <w:rPr>
          <w:rFonts w:ascii="Calibri" w:hAnsi="Calibri"/>
          <w:b/>
        </w:rPr>
        <w:t xml:space="preserve">: </w:t>
      </w:r>
      <w:r>
        <w:rPr>
          <w:rFonts w:ascii="Calibri" w:hAnsi="Calibri"/>
          <w:b/>
        </w:rPr>
        <w:t>Introduce time-domain mapping patterns for SSBs</w:t>
      </w:r>
      <w:r w:rsidRPr="00057E9B">
        <w:rPr>
          <w:rFonts w:ascii="Calibri" w:hAnsi="Calibri"/>
          <w:b/>
        </w:rPr>
        <w:t xml:space="preserve"> </w:t>
      </w:r>
      <w:r>
        <w:rPr>
          <w:rFonts w:ascii="Calibri" w:hAnsi="Calibri"/>
          <w:b/>
        </w:rPr>
        <w:t>based on hop order which are orthogonal for up to 3 hops.</w:t>
      </w:r>
    </w:p>
    <w:p w:rsidR="00CB4F18" w:rsidRDefault="00CB4F18" w:rsidP="00CB4F18">
      <w:pPr>
        <w:pStyle w:val="maintext"/>
        <w:ind w:firstLineChars="0" w:firstLine="0"/>
        <w:rPr>
          <w:rFonts w:ascii="Calibri" w:hAnsi="Calibri"/>
          <w:b/>
        </w:rPr>
      </w:pPr>
      <w:r>
        <w:rPr>
          <w:rFonts w:ascii="Calibri" w:hAnsi="Calibri"/>
          <w:b/>
        </w:rPr>
        <w:t>Proposal 3: Support configuration of different periodicities/offsets to enable both intra- and inter-hop discovery.</w:t>
      </w:r>
    </w:p>
    <w:p w:rsidR="006703A8" w:rsidRDefault="006703A8" w:rsidP="00172743">
      <w:pPr>
        <w:spacing w:before="0" w:after="0"/>
        <w:rPr>
          <w:rFonts w:ascii="Calibri" w:hAnsi="Calibri"/>
        </w:rPr>
      </w:pPr>
    </w:p>
    <w:p w:rsidR="00FE6C15" w:rsidRPr="0076067D" w:rsidRDefault="00FE6C15" w:rsidP="0076067D">
      <w:pPr>
        <w:pStyle w:val="Heading1"/>
      </w:pPr>
      <w:r>
        <w:lastRenderedPageBreak/>
        <w:t>Reference</w:t>
      </w:r>
    </w:p>
    <w:p w:rsidR="00DD3182" w:rsidRDefault="00DD3182" w:rsidP="00DD3182">
      <w:pPr>
        <w:pStyle w:val="2222"/>
        <w:spacing w:after="120" w:line="288" w:lineRule="auto"/>
        <w:ind w:firstLineChars="0" w:firstLine="0"/>
        <w:jc w:val="left"/>
        <w:rPr>
          <w:rFonts w:cs="Times New Roman"/>
          <w:lang w:eastAsia="ko-KR"/>
        </w:rPr>
      </w:pPr>
      <w:r>
        <w:rPr>
          <w:rFonts w:cs="Times New Roman"/>
          <w:lang w:eastAsia="ko-KR"/>
        </w:rPr>
        <w:t xml:space="preserve">[1] RP-182882, </w:t>
      </w:r>
      <w:r w:rsidRPr="004131D6">
        <w:rPr>
          <w:rFonts w:cs="Times New Roman"/>
          <w:lang w:eastAsia="ko-KR"/>
        </w:rPr>
        <w:t>New WID: Integrated Access and Backhaul for NR</w:t>
      </w:r>
      <w:r>
        <w:rPr>
          <w:rFonts w:cs="Times New Roman"/>
          <w:lang w:eastAsia="ko-KR"/>
        </w:rPr>
        <w:t>, Qualcomm</w:t>
      </w:r>
    </w:p>
    <w:p w:rsidR="00DD3182" w:rsidRPr="00A54900" w:rsidRDefault="00DD3182" w:rsidP="00DD3182">
      <w:pPr>
        <w:pStyle w:val="2222"/>
        <w:spacing w:after="120" w:line="288" w:lineRule="auto"/>
        <w:ind w:firstLineChars="0" w:firstLine="0"/>
        <w:jc w:val="left"/>
        <w:rPr>
          <w:rFonts w:cs="Times New Roman"/>
          <w:lang w:eastAsia="ko-KR"/>
        </w:rPr>
      </w:pPr>
      <w:r>
        <w:rPr>
          <w:rFonts w:cs="Times New Roman"/>
          <w:lang w:eastAsia="ko-KR"/>
        </w:rPr>
        <w:t xml:space="preserve">[2] TR 38.874 1.0.0, </w:t>
      </w:r>
      <w:r>
        <w:rPr>
          <w:rFonts w:cs="Arial"/>
        </w:rPr>
        <w:t>Study on Integrated Access and Backhaul</w:t>
      </w:r>
    </w:p>
    <w:p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6B76" w:rsidRDefault="001F6B76" w:rsidP="00424124">
      <w:pPr>
        <w:spacing w:before="0" w:after="0"/>
      </w:pPr>
      <w:r>
        <w:separator/>
      </w:r>
    </w:p>
  </w:endnote>
  <w:endnote w:type="continuationSeparator" w:id="0">
    <w:p w:rsidR="001F6B76" w:rsidRDefault="001F6B76"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6B76" w:rsidRDefault="001F6B76" w:rsidP="00424124">
      <w:pPr>
        <w:spacing w:before="0" w:after="0"/>
      </w:pPr>
      <w:r>
        <w:separator/>
      </w:r>
    </w:p>
  </w:footnote>
  <w:footnote w:type="continuationSeparator" w:id="0">
    <w:p w:rsidR="001F6B76" w:rsidRDefault="001F6B76"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3"/>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5"/>
  </w:num>
  <w:num w:numId="8">
    <w:abstractNumId w:val="11"/>
  </w:num>
  <w:num w:numId="9">
    <w:abstractNumId w:val="2"/>
  </w:num>
  <w:num w:numId="10">
    <w:abstractNumId w:val="3"/>
  </w:num>
  <w:num w:numId="11">
    <w:abstractNumId w:val="14"/>
  </w:num>
  <w:num w:numId="12">
    <w:abstractNumId w:val="7"/>
  </w:num>
  <w:num w:numId="13">
    <w:abstractNumId w:val="8"/>
  </w:num>
  <w:num w:numId="14">
    <w:abstractNumId w:val="18"/>
  </w:num>
  <w:num w:numId="15">
    <w:abstractNumId w:val="1"/>
  </w:num>
  <w:num w:numId="16">
    <w:abstractNumId w:val="16"/>
  </w:num>
  <w:num w:numId="17">
    <w:abstractNumId w:val="12"/>
  </w:num>
  <w:num w:numId="18">
    <w:abstractNumId w:val="9"/>
  </w:num>
  <w:num w:numId="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2D47"/>
    <w:rsid w:val="000337FC"/>
    <w:rsid w:val="000440EF"/>
    <w:rsid w:val="000463E4"/>
    <w:rsid w:val="00051B4B"/>
    <w:rsid w:val="00051EBB"/>
    <w:rsid w:val="0005289E"/>
    <w:rsid w:val="000550BC"/>
    <w:rsid w:val="00057E9B"/>
    <w:rsid w:val="000643FA"/>
    <w:rsid w:val="00070728"/>
    <w:rsid w:val="000730C9"/>
    <w:rsid w:val="0007575F"/>
    <w:rsid w:val="00075B2C"/>
    <w:rsid w:val="00075FD1"/>
    <w:rsid w:val="00077712"/>
    <w:rsid w:val="00085800"/>
    <w:rsid w:val="000865E3"/>
    <w:rsid w:val="000917C5"/>
    <w:rsid w:val="00097DC6"/>
    <w:rsid w:val="000A36A9"/>
    <w:rsid w:val="000B0720"/>
    <w:rsid w:val="000B58AF"/>
    <w:rsid w:val="000B6D99"/>
    <w:rsid w:val="000C05C0"/>
    <w:rsid w:val="000C21D0"/>
    <w:rsid w:val="000C57B9"/>
    <w:rsid w:val="000D38DC"/>
    <w:rsid w:val="000E10D9"/>
    <w:rsid w:val="000E29D8"/>
    <w:rsid w:val="000F259D"/>
    <w:rsid w:val="0010303E"/>
    <w:rsid w:val="0011327D"/>
    <w:rsid w:val="00116DA6"/>
    <w:rsid w:val="001279BC"/>
    <w:rsid w:val="00132250"/>
    <w:rsid w:val="00137E15"/>
    <w:rsid w:val="001417A8"/>
    <w:rsid w:val="00153793"/>
    <w:rsid w:val="00172743"/>
    <w:rsid w:val="00175301"/>
    <w:rsid w:val="001A5A68"/>
    <w:rsid w:val="001A6212"/>
    <w:rsid w:val="001A75E0"/>
    <w:rsid w:val="001B731B"/>
    <w:rsid w:val="001C4ACE"/>
    <w:rsid w:val="001C699C"/>
    <w:rsid w:val="001E02F3"/>
    <w:rsid w:val="001E0CE1"/>
    <w:rsid w:val="001E58CC"/>
    <w:rsid w:val="001F02DD"/>
    <w:rsid w:val="001F18B7"/>
    <w:rsid w:val="001F2A01"/>
    <w:rsid w:val="001F59ED"/>
    <w:rsid w:val="001F6B76"/>
    <w:rsid w:val="002013B3"/>
    <w:rsid w:val="00201870"/>
    <w:rsid w:val="00211D37"/>
    <w:rsid w:val="00212204"/>
    <w:rsid w:val="0021262A"/>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87D4D"/>
    <w:rsid w:val="0029112F"/>
    <w:rsid w:val="0029147A"/>
    <w:rsid w:val="00297225"/>
    <w:rsid w:val="002A005E"/>
    <w:rsid w:val="002A01EA"/>
    <w:rsid w:val="002A0270"/>
    <w:rsid w:val="002A66E2"/>
    <w:rsid w:val="002B6E52"/>
    <w:rsid w:val="002C0488"/>
    <w:rsid w:val="002C4097"/>
    <w:rsid w:val="002C594E"/>
    <w:rsid w:val="002D3D42"/>
    <w:rsid w:val="002D479B"/>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727DB"/>
    <w:rsid w:val="00385177"/>
    <w:rsid w:val="00385DF3"/>
    <w:rsid w:val="00386642"/>
    <w:rsid w:val="00392176"/>
    <w:rsid w:val="003921D6"/>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24124"/>
    <w:rsid w:val="00434212"/>
    <w:rsid w:val="00440F6E"/>
    <w:rsid w:val="00443645"/>
    <w:rsid w:val="00443CD6"/>
    <w:rsid w:val="004552C9"/>
    <w:rsid w:val="004607AC"/>
    <w:rsid w:val="0046127E"/>
    <w:rsid w:val="00466E46"/>
    <w:rsid w:val="004678E1"/>
    <w:rsid w:val="004709B7"/>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6ED8"/>
    <w:rsid w:val="004C7784"/>
    <w:rsid w:val="004D453B"/>
    <w:rsid w:val="004D780D"/>
    <w:rsid w:val="004D7CF8"/>
    <w:rsid w:val="004E6BC0"/>
    <w:rsid w:val="004E6D3B"/>
    <w:rsid w:val="005007E9"/>
    <w:rsid w:val="00504C05"/>
    <w:rsid w:val="00504E5F"/>
    <w:rsid w:val="005055A6"/>
    <w:rsid w:val="00507060"/>
    <w:rsid w:val="0051179B"/>
    <w:rsid w:val="00512838"/>
    <w:rsid w:val="0051424F"/>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A133E"/>
    <w:rsid w:val="005A18B4"/>
    <w:rsid w:val="005A60B4"/>
    <w:rsid w:val="005B47BD"/>
    <w:rsid w:val="005B69C2"/>
    <w:rsid w:val="005B6FA6"/>
    <w:rsid w:val="005D1A4D"/>
    <w:rsid w:val="005D2C51"/>
    <w:rsid w:val="005D7D27"/>
    <w:rsid w:val="005F21BF"/>
    <w:rsid w:val="005F41EC"/>
    <w:rsid w:val="005F613D"/>
    <w:rsid w:val="00600F57"/>
    <w:rsid w:val="00603015"/>
    <w:rsid w:val="0060603E"/>
    <w:rsid w:val="00632789"/>
    <w:rsid w:val="00633934"/>
    <w:rsid w:val="00634707"/>
    <w:rsid w:val="00636F9E"/>
    <w:rsid w:val="006439F2"/>
    <w:rsid w:val="00644034"/>
    <w:rsid w:val="006477B7"/>
    <w:rsid w:val="00652AC8"/>
    <w:rsid w:val="0065437E"/>
    <w:rsid w:val="0066157D"/>
    <w:rsid w:val="006703A8"/>
    <w:rsid w:val="0067125A"/>
    <w:rsid w:val="00671E30"/>
    <w:rsid w:val="006756FB"/>
    <w:rsid w:val="00677BD0"/>
    <w:rsid w:val="00685B82"/>
    <w:rsid w:val="00685E11"/>
    <w:rsid w:val="0069705B"/>
    <w:rsid w:val="006A0EDC"/>
    <w:rsid w:val="006A18DB"/>
    <w:rsid w:val="006A2D2E"/>
    <w:rsid w:val="006C0BAC"/>
    <w:rsid w:val="006C452E"/>
    <w:rsid w:val="006C7692"/>
    <w:rsid w:val="006D6ABC"/>
    <w:rsid w:val="006E790B"/>
    <w:rsid w:val="006F055C"/>
    <w:rsid w:val="006F52D9"/>
    <w:rsid w:val="00702C40"/>
    <w:rsid w:val="00707D20"/>
    <w:rsid w:val="00710F58"/>
    <w:rsid w:val="00713175"/>
    <w:rsid w:val="00713382"/>
    <w:rsid w:val="00714B77"/>
    <w:rsid w:val="00714CA5"/>
    <w:rsid w:val="00721AD7"/>
    <w:rsid w:val="007225EF"/>
    <w:rsid w:val="00722BA6"/>
    <w:rsid w:val="00723DC5"/>
    <w:rsid w:val="00726B84"/>
    <w:rsid w:val="00727952"/>
    <w:rsid w:val="007316AF"/>
    <w:rsid w:val="007338D6"/>
    <w:rsid w:val="00740B36"/>
    <w:rsid w:val="00747A6F"/>
    <w:rsid w:val="0075622F"/>
    <w:rsid w:val="0076067D"/>
    <w:rsid w:val="00782CDC"/>
    <w:rsid w:val="007839F9"/>
    <w:rsid w:val="00784132"/>
    <w:rsid w:val="00786229"/>
    <w:rsid w:val="0078708D"/>
    <w:rsid w:val="00787145"/>
    <w:rsid w:val="00791D57"/>
    <w:rsid w:val="007A2765"/>
    <w:rsid w:val="007B13E5"/>
    <w:rsid w:val="007B2F6B"/>
    <w:rsid w:val="007B473A"/>
    <w:rsid w:val="007C4B85"/>
    <w:rsid w:val="007D0BB2"/>
    <w:rsid w:val="007D2C48"/>
    <w:rsid w:val="007E546F"/>
    <w:rsid w:val="007F0AF3"/>
    <w:rsid w:val="007F1928"/>
    <w:rsid w:val="007F392E"/>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75791"/>
    <w:rsid w:val="00885004"/>
    <w:rsid w:val="00886940"/>
    <w:rsid w:val="00886B7B"/>
    <w:rsid w:val="00887AB4"/>
    <w:rsid w:val="00894290"/>
    <w:rsid w:val="008A25A1"/>
    <w:rsid w:val="008B39B6"/>
    <w:rsid w:val="008C1AFD"/>
    <w:rsid w:val="008C4B67"/>
    <w:rsid w:val="008D1AEF"/>
    <w:rsid w:val="008E48C2"/>
    <w:rsid w:val="008F2160"/>
    <w:rsid w:val="00901B67"/>
    <w:rsid w:val="00905E86"/>
    <w:rsid w:val="009124E4"/>
    <w:rsid w:val="00917D0F"/>
    <w:rsid w:val="00924EA9"/>
    <w:rsid w:val="00925FA2"/>
    <w:rsid w:val="00926A9C"/>
    <w:rsid w:val="00927803"/>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A0235E"/>
    <w:rsid w:val="00A04526"/>
    <w:rsid w:val="00A11704"/>
    <w:rsid w:val="00A11840"/>
    <w:rsid w:val="00A21D13"/>
    <w:rsid w:val="00A22671"/>
    <w:rsid w:val="00A22C61"/>
    <w:rsid w:val="00A262E4"/>
    <w:rsid w:val="00A26EC3"/>
    <w:rsid w:val="00A300E0"/>
    <w:rsid w:val="00A359C7"/>
    <w:rsid w:val="00A41CF3"/>
    <w:rsid w:val="00A456B1"/>
    <w:rsid w:val="00A4674D"/>
    <w:rsid w:val="00A547CE"/>
    <w:rsid w:val="00A55FF3"/>
    <w:rsid w:val="00A603CE"/>
    <w:rsid w:val="00A64CF7"/>
    <w:rsid w:val="00A72B33"/>
    <w:rsid w:val="00A821EA"/>
    <w:rsid w:val="00A8721E"/>
    <w:rsid w:val="00A92495"/>
    <w:rsid w:val="00AA5160"/>
    <w:rsid w:val="00AA5899"/>
    <w:rsid w:val="00AB0589"/>
    <w:rsid w:val="00AB75A3"/>
    <w:rsid w:val="00AB7FC6"/>
    <w:rsid w:val="00AC05AE"/>
    <w:rsid w:val="00AD115D"/>
    <w:rsid w:val="00AD16AE"/>
    <w:rsid w:val="00AD6C53"/>
    <w:rsid w:val="00AE72F4"/>
    <w:rsid w:val="00AF0A4B"/>
    <w:rsid w:val="00AF4BBC"/>
    <w:rsid w:val="00AF65DE"/>
    <w:rsid w:val="00B04278"/>
    <w:rsid w:val="00B12672"/>
    <w:rsid w:val="00B2434D"/>
    <w:rsid w:val="00B24D29"/>
    <w:rsid w:val="00B32216"/>
    <w:rsid w:val="00B34716"/>
    <w:rsid w:val="00B3707E"/>
    <w:rsid w:val="00B55FA2"/>
    <w:rsid w:val="00B61A13"/>
    <w:rsid w:val="00B6232D"/>
    <w:rsid w:val="00B648CA"/>
    <w:rsid w:val="00B74894"/>
    <w:rsid w:val="00B749FB"/>
    <w:rsid w:val="00B75FF7"/>
    <w:rsid w:val="00B82B83"/>
    <w:rsid w:val="00B83D95"/>
    <w:rsid w:val="00B909F7"/>
    <w:rsid w:val="00B96A24"/>
    <w:rsid w:val="00BA677D"/>
    <w:rsid w:val="00BA6FDB"/>
    <w:rsid w:val="00BB02ED"/>
    <w:rsid w:val="00BB3CBF"/>
    <w:rsid w:val="00BB5132"/>
    <w:rsid w:val="00BC31F9"/>
    <w:rsid w:val="00BC6F83"/>
    <w:rsid w:val="00BC704C"/>
    <w:rsid w:val="00BD15E1"/>
    <w:rsid w:val="00BD34B4"/>
    <w:rsid w:val="00BE26B4"/>
    <w:rsid w:val="00BF2C5D"/>
    <w:rsid w:val="00BF31E3"/>
    <w:rsid w:val="00BF5F1C"/>
    <w:rsid w:val="00C07731"/>
    <w:rsid w:val="00C17E83"/>
    <w:rsid w:val="00C218A9"/>
    <w:rsid w:val="00C261F4"/>
    <w:rsid w:val="00C40BE6"/>
    <w:rsid w:val="00C47EE0"/>
    <w:rsid w:val="00C534CA"/>
    <w:rsid w:val="00C63006"/>
    <w:rsid w:val="00C67568"/>
    <w:rsid w:val="00C7007B"/>
    <w:rsid w:val="00C71871"/>
    <w:rsid w:val="00C71939"/>
    <w:rsid w:val="00C724F1"/>
    <w:rsid w:val="00C735F1"/>
    <w:rsid w:val="00C913B6"/>
    <w:rsid w:val="00C91C5E"/>
    <w:rsid w:val="00C92E44"/>
    <w:rsid w:val="00CA6EA3"/>
    <w:rsid w:val="00CB15A7"/>
    <w:rsid w:val="00CB4F18"/>
    <w:rsid w:val="00CB6D97"/>
    <w:rsid w:val="00CC09CE"/>
    <w:rsid w:val="00CD7B54"/>
    <w:rsid w:val="00CE0C9D"/>
    <w:rsid w:val="00CE1FF5"/>
    <w:rsid w:val="00D10682"/>
    <w:rsid w:val="00D134C5"/>
    <w:rsid w:val="00D23CDC"/>
    <w:rsid w:val="00D26593"/>
    <w:rsid w:val="00D268EB"/>
    <w:rsid w:val="00D26CFF"/>
    <w:rsid w:val="00D274C6"/>
    <w:rsid w:val="00D37270"/>
    <w:rsid w:val="00D446F1"/>
    <w:rsid w:val="00D456D8"/>
    <w:rsid w:val="00D45A0E"/>
    <w:rsid w:val="00D4645D"/>
    <w:rsid w:val="00D4758C"/>
    <w:rsid w:val="00D50169"/>
    <w:rsid w:val="00D5391C"/>
    <w:rsid w:val="00D55FAB"/>
    <w:rsid w:val="00D56786"/>
    <w:rsid w:val="00D61EAB"/>
    <w:rsid w:val="00D701D3"/>
    <w:rsid w:val="00D724F9"/>
    <w:rsid w:val="00D7445F"/>
    <w:rsid w:val="00D91E8D"/>
    <w:rsid w:val="00D92B1D"/>
    <w:rsid w:val="00DB0323"/>
    <w:rsid w:val="00DB1FA7"/>
    <w:rsid w:val="00DB3BFC"/>
    <w:rsid w:val="00DC0E31"/>
    <w:rsid w:val="00DC70D0"/>
    <w:rsid w:val="00DC7DD6"/>
    <w:rsid w:val="00DD3182"/>
    <w:rsid w:val="00DD3971"/>
    <w:rsid w:val="00DD5F15"/>
    <w:rsid w:val="00DE2A3F"/>
    <w:rsid w:val="00DF5F45"/>
    <w:rsid w:val="00E03E65"/>
    <w:rsid w:val="00E13146"/>
    <w:rsid w:val="00E174FC"/>
    <w:rsid w:val="00E20070"/>
    <w:rsid w:val="00E20994"/>
    <w:rsid w:val="00E22124"/>
    <w:rsid w:val="00E261AD"/>
    <w:rsid w:val="00E324C0"/>
    <w:rsid w:val="00E40344"/>
    <w:rsid w:val="00E46C60"/>
    <w:rsid w:val="00E46D61"/>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311C"/>
    <w:rsid w:val="00F154D0"/>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7E12"/>
    <w:rsid w:val="00F814DE"/>
    <w:rsid w:val="00F86EE6"/>
    <w:rsid w:val="00F90045"/>
    <w:rsid w:val="00F925FE"/>
    <w:rsid w:val="00F959A1"/>
    <w:rsid w:val="00F970EB"/>
    <w:rsid w:val="00FA0472"/>
    <w:rsid w:val="00FA28D1"/>
    <w:rsid w:val="00FA6558"/>
    <w:rsid w:val="00FB2665"/>
    <w:rsid w:val="00FC3DE0"/>
    <w:rsid w:val="00FC61FD"/>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81BD3"/>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5F41EC"/>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5F41EC"/>
    <w:rPr>
      <w:rFonts w:ascii="Times New Roman" w:eastAsia="Times New Roman" w:hAnsi="Times New Roman"/>
      <w:lang w:val="x-none" w:eastAsia="x-none"/>
    </w:rPr>
  </w:style>
  <w:style w:type="paragraph" w:customStyle="1" w:styleId="B2">
    <w:name w:val="B2"/>
    <w:basedOn w:val="List2"/>
    <w:link w:val="B2Char"/>
    <w:rsid w:val="005F41EC"/>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5F41EC"/>
    <w:rPr>
      <w:rFonts w:ascii="Times New Roman" w:eastAsia="Times New Roman" w:hAnsi="Times New Roman"/>
      <w:lang w:val="x-none" w:eastAsia="x-none"/>
    </w:rPr>
  </w:style>
  <w:style w:type="paragraph" w:styleId="List">
    <w:name w:val="List"/>
    <w:basedOn w:val="Normal"/>
    <w:uiPriority w:val="99"/>
    <w:semiHidden/>
    <w:unhideWhenUsed/>
    <w:rsid w:val="005F41EC"/>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93404142">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4846-1BD7-4478-9F0A-ED72D44A4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854</Words>
  <Characters>4873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5716</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(AT&amp;T)</cp:lastModifiedBy>
  <cp:revision>3</cp:revision>
  <cp:lastPrinted>2018-09-28T20:14:00Z</cp:lastPrinted>
  <dcterms:created xsi:type="dcterms:W3CDTF">2019-01-11T20:10:00Z</dcterms:created>
  <dcterms:modified xsi:type="dcterms:W3CDTF">2019-01-11T20:16:00Z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